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10" w:rsidRPr="00D22B10" w:rsidRDefault="00D22B10" w:rsidP="00D22B10">
      <w:pPr>
        <w:tabs>
          <w:tab w:val="left" w:pos="1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22B10">
        <w:rPr>
          <w:rFonts w:ascii="Arial" w:hAnsi="Arial" w:cs="Arial"/>
          <w:b/>
          <w:bCs/>
          <w:sz w:val="20"/>
          <w:szCs w:val="20"/>
        </w:rPr>
        <w:t>Diagnoza indywidualna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Postępowanie diagnostyczne ma charakter dynamiczny – jest ciągłe, systematyczne oraz uwzględnia zachodzące zmiany.</w:t>
      </w:r>
    </w:p>
    <w:p w:rsidR="00D22B10" w:rsidRPr="00D22B10" w:rsidRDefault="00D22B10" w:rsidP="00D22B10">
      <w:pPr>
        <w:tabs>
          <w:tab w:val="left" w:pos="1620"/>
        </w:tabs>
        <w:ind w:left="-372"/>
        <w:jc w:val="both"/>
        <w:rPr>
          <w:rFonts w:ascii="Arial" w:hAnsi="Arial" w:cs="Arial"/>
          <w:sz w:val="20"/>
          <w:szCs w:val="20"/>
        </w:rPr>
      </w:pP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 xml:space="preserve">Schemat diagnozy obejmuje: 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 xml:space="preserve">- obserwację wstępną zaburzeń zachowania dziecka 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 xml:space="preserve">- obserwację i analizę zachowań dziecka w jego relacjach ze światem (w relacjach z rówieśnikami, z dorosłymi, w relacjach zadaniowych i w stosunku do własnej osoby) 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 xml:space="preserve">- ustalenie przyczyn zaburzeń zachowania dziecka w zakresie deprywacji podstawowych potrzeb 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opracowanie sądów poznawczych dziecka, które wyznaczają jego specyficzne zachowania i są źródłem jego dysfunkcji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sformułowanie sądów korygujących, inicjujących proces zmian terapeutycznych;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dostarczenie dziecku doświadczeń niezbędnych w procesie zmian.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Uzupełnieniem diagnozy podstawowej są: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wywiad i rozmowy indywidualne z rodzicami (opiekunami prawnymi),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wywiad i konsultacje z wychowawcą szkolnym dziecka oraz pedagogiem szkolnym,</w:t>
      </w:r>
    </w:p>
    <w:p w:rsidR="00D22B10" w:rsidRPr="00D22B10" w:rsidRDefault="00D22B10" w:rsidP="00D22B10">
      <w:pPr>
        <w:tabs>
          <w:tab w:val="left" w:pos="1620"/>
        </w:tabs>
        <w:jc w:val="both"/>
        <w:rPr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konsultacje z placówkami specjalistycznymi oraz instytucjami działającymi na rzecz dziecka i rodziny.</w:t>
      </w:r>
      <w:r w:rsidRPr="00D22B10">
        <w:rPr>
          <w:sz w:val="20"/>
          <w:szCs w:val="20"/>
        </w:rPr>
        <w:t xml:space="preserve"> 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Obserwacji zachowania dziecka towarzyszy ocena dysfunkcji dokonana w oparciu o cechy zaburzonego zachowania: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nieadekwatność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sztywność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szkodliwość dla podmiotu i otoczenia</w:t>
      </w:r>
    </w:p>
    <w:p w:rsidR="00D22B10" w:rsidRPr="00D22B10" w:rsidRDefault="00D22B10" w:rsidP="00D22B10">
      <w:pPr>
        <w:tabs>
          <w:tab w:val="left" w:pos="16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- obecność trudnych emocji</w:t>
      </w:r>
    </w:p>
    <w:p w:rsidR="00D22B10" w:rsidRPr="00D22B10" w:rsidRDefault="00D22B10" w:rsidP="00D22B10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D22B10">
        <w:rPr>
          <w:rFonts w:ascii="Arial" w:hAnsi="Arial" w:cs="Arial"/>
          <w:sz w:val="20"/>
          <w:szCs w:val="20"/>
        </w:rPr>
        <w:t>Obserwacja zachowania dziecka wymaga dużej rzetelności i skoncentrowania się na tym, co robi dziecko, a nie jakie jest (opinia, interpretacja). Tylko taki opis może być przedmiotem dalszej analizy – formułowania sądów urazowych i korygujących. Hipotezy urazowe pomagają spojrzeć na świat oczami dziecka i lepiej zrozumieć motywy jego działania.</w:t>
      </w:r>
    </w:p>
    <w:p w:rsidR="005A2249" w:rsidRPr="00D22B10" w:rsidRDefault="005A2249">
      <w:pPr>
        <w:rPr>
          <w:sz w:val="20"/>
          <w:szCs w:val="20"/>
        </w:rPr>
      </w:pPr>
    </w:p>
    <w:sectPr w:rsidR="005A2249" w:rsidRPr="00D22B10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22B10"/>
    <w:rsid w:val="005A2249"/>
    <w:rsid w:val="00D22B10"/>
    <w:rsid w:val="00D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B10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2012-10-01T11:39:00Z</dcterms:created>
  <dcterms:modified xsi:type="dcterms:W3CDTF">2012-10-01T11:41:00Z</dcterms:modified>
</cp:coreProperties>
</file>